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rtl/>
        </w:rPr>
        <w:t>קורות חיים של החוקרת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rtl/>
        </w:rPr>
        <w:t>פרטים אישיים: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שם: ד"ר </w:t>
      </w:r>
      <w:bookmarkStart w:id="0" w:name="_GoBack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קיים אורלי</w:t>
      </w:r>
      <w:bookmarkEnd w:id="0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שנת לידה: 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1968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ארץ לידה: ישראל.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מצב משפחתי: נשואה + 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3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כתובת: קדם 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34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, שוהם.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טלפון 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03-9773456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. נייד: 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054-6699816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דואר אלקטרוני:  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orlyka@windev.tqsoft.co.il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 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rtl/>
        </w:rPr>
        <w:t>השכלה: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1990-1993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: תואר ראשון בלשון עברית ובחינוך </w:t>
      </w:r>
      <w:proofErr w:type="spellStart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מינהל</w:t>
      </w:r>
      <w:proofErr w:type="spellEnd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 ופיקוח באוניברסיטת בר-אילן. 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>בהצטיינות יתירה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1993-1995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: תואר שני </w:t>
      </w:r>
      <w:proofErr w:type="spellStart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במינהל</w:t>
      </w:r>
      <w:proofErr w:type="spellEnd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 חינוכי ותעודת הוראה בלשון עברית ובהבעה באוניברסיטת בר-אילן. 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>בהצלחה.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1995-2000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: דוקטורט בלשון עברית ותקשורת </w:t>
      </w:r>
      <w:proofErr w:type="spellStart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שכנועית</w:t>
      </w:r>
      <w:proofErr w:type="spellEnd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 (תורת הרטוריקה והלוגיקה) במסלול הישיר באוניברסיטת בר-אילן. 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>בהצטיינות יתירה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. הדוקטורט בהנחיית פרופ' ר' לנדאו (ז"ל) ופרופ' מאיה </w:t>
      </w:r>
      <w:proofErr w:type="spellStart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פרוכטמן</w:t>
      </w:r>
      <w:proofErr w:type="spellEnd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. המחקר זיכה אותי בפרס לדוקטורנטים מצטיינים של המועצה להשכלה גבוהה לשלוש שנים ע"ס 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150,000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 ₪ דאז 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 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rtl/>
        </w:rPr>
        <w:t>ניסיון בעבודה: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 xml:space="preserve"> מ-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1993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 xml:space="preserve"> ועד היום: במערכת החינוך בתחום הניהול וההוראה: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 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ניהול: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2001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ועד היום-</w:t>
      </w:r>
    </w:p>
    <w:p w:rsidR="0037421F" w:rsidRPr="0037421F" w:rsidRDefault="0037421F" w:rsidP="003742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מנהלת המכינות הקדם אקדמיות (מכינה </w:t>
      </w:r>
      <w:proofErr w:type="spellStart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בגרותית</w:t>
      </w:r>
      <w:proofErr w:type="spellEnd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 ומכינה </w:t>
      </w:r>
      <w:proofErr w:type="spellStart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יעודית</w:t>
      </w:r>
      <w:proofErr w:type="spellEnd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) במכללה לחינוך גופני ולספורט במכון וינגייט, בחסות משרד החינוך ומשרד הביטחון- הקרן להכוונת חיילים משוחררים. במסגרת התפקיד אני אמונה על מתן הזדמנות שנייה וסיוע לחיילים משוחררים, לאוכלוסיות ייחודיות, וללקויי למידה בהשלמת זכאותם להשכלה בסיסית, </w:t>
      </w:r>
      <w:proofErr w:type="spellStart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ובהנגשת</w:t>
      </w:r>
      <w:proofErr w:type="spellEnd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 האפשרות ללימודים גבוהים עבורם.</w:t>
      </w:r>
    </w:p>
    <w:p w:rsidR="0037421F" w:rsidRPr="0037421F" w:rsidRDefault="0037421F" w:rsidP="003742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רכזת לימודי הלשון במכללה (משנת תש"ע)</w:t>
      </w:r>
    </w:p>
    <w:p w:rsidR="0037421F" w:rsidRPr="0037421F" w:rsidRDefault="0037421F" w:rsidP="003742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חברה בשלושה פורומים </w:t>
      </w:r>
      <w:proofErr w:type="spellStart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במופ"ת</w:t>
      </w:r>
      <w:proofErr w:type="spellEnd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- לשון עברית, לקויי למידה ואוכלוסיות בעלות צרכים מיוחדים, ויוצאי אתיופיה.</w:t>
      </w:r>
    </w:p>
    <w:p w:rsidR="0037421F" w:rsidRPr="0037421F" w:rsidRDefault="0037421F" w:rsidP="003742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מקימה ומנהלת את המרכז לאוריינות (משנת תש"ע)</w:t>
      </w:r>
    </w:p>
    <w:p w:rsidR="0037421F" w:rsidRPr="0037421F" w:rsidRDefault="0037421F" w:rsidP="003742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מקימה ומנהלת של מרכז התמיכה לאוכלוסיות ייחודיות, ומובילת </w:t>
      </w:r>
      <w:proofErr w:type="spellStart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פרוייקט</w:t>
      </w:r>
      <w:proofErr w:type="spellEnd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 "מהפכה בהשכלה" במימון הביטוח הלאומי (משנת תשע"א)</w:t>
      </w:r>
    </w:p>
    <w:p w:rsidR="0037421F" w:rsidRPr="0037421F" w:rsidRDefault="0037421F" w:rsidP="003742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מקימה ומנהלת של המרכז ללימוד פסיכומטרי במכללה</w:t>
      </w:r>
    </w:p>
    <w:p w:rsidR="0037421F" w:rsidRPr="0037421F" w:rsidRDefault="0037421F" w:rsidP="0037421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חברה </w:t>
      </w:r>
      <w:proofErr w:type="spellStart"/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בועדת</w:t>
      </w:r>
      <w:proofErr w:type="spellEnd"/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המכללה השונות: הנהלת בתי הספר להשתלמויות, ועדת קבלה, ועדת משמעת, ועדת חגיגות ה- 70.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 </w:t>
      </w:r>
    </w:p>
    <w:p w:rsidR="0037421F" w:rsidRPr="0037421F" w:rsidRDefault="0037421F" w:rsidP="003742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 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4"/>
          <w:szCs w:val="24"/>
          <w:rtl/>
        </w:rPr>
        <w:t>הוראה</w:t>
      </w: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:</w:t>
      </w:r>
      <w:r w:rsidRPr="0037421F">
        <w:rPr>
          <w:rFonts w:ascii="Arial" w:eastAsia="Times New Roman" w:hAnsi="Arial" w:cs="Arial"/>
          <w:b/>
          <w:bCs/>
          <w:i/>
          <w:iCs/>
          <w:sz w:val="24"/>
          <w:szCs w:val="24"/>
          <w:rtl/>
        </w:rPr>
        <w:t xml:space="preserve"> מרצה במוסדות אקדמיים: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u w:val="single"/>
          <w:rtl/>
        </w:rPr>
        <w:lastRenderedPageBreak/>
        <w:t xml:space="preserve">13 שנים במכללה </w:t>
      </w:r>
      <w:proofErr w:type="spellStart"/>
      <w:r w:rsidRPr="0037421F">
        <w:rPr>
          <w:rFonts w:ascii="Arial" w:eastAsia="Times New Roman" w:hAnsi="Arial" w:cs="Arial"/>
          <w:i/>
          <w:iCs/>
          <w:sz w:val="24"/>
          <w:szCs w:val="24"/>
          <w:u w:val="single"/>
          <w:rtl/>
        </w:rPr>
        <w:t>בוינגייט</w:t>
      </w:r>
      <w:proofErr w:type="spellEnd"/>
      <w:r w:rsidRPr="0037421F">
        <w:rPr>
          <w:rFonts w:ascii="Arial" w:eastAsia="Times New Roman" w:hAnsi="Arial" w:cs="Arial"/>
          <w:i/>
          <w:iCs/>
          <w:sz w:val="24"/>
          <w:szCs w:val="24"/>
          <w:u w:val="single"/>
          <w:rtl/>
        </w:rPr>
        <w:t>:</w:t>
      </w: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 קורסי לשון בסיסי, כתיבה אקדמית וניתוח טקסטים.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u w:val="single"/>
          <w:rtl/>
        </w:rPr>
        <w:t>4 שנים באוניברסיטת בר- אילן</w:t>
      </w: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  בקורסים הבאים:</w:t>
      </w:r>
    </w:p>
    <w:p w:rsidR="0037421F" w:rsidRPr="0037421F" w:rsidRDefault="0037421F" w:rsidP="003742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'רטוריקה ולוגיקה של פסקי הדין של ביהמ"ש העליון', לסטודנטים לתואר ראשון ושני.</w:t>
      </w:r>
    </w:p>
    <w:p w:rsidR="0037421F" w:rsidRPr="0037421F" w:rsidRDefault="0037421F" w:rsidP="003742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'תורת התקשורת </w:t>
      </w:r>
      <w:proofErr w:type="spellStart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השכנועית</w:t>
      </w:r>
      <w:proofErr w:type="spellEnd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' (תורת הרטוריקה), לסטודנטים לתואר שני.</w:t>
      </w:r>
    </w:p>
    <w:p w:rsidR="0037421F" w:rsidRPr="0037421F" w:rsidRDefault="0037421F" w:rsidP="003742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'טקסטים מודרניים', לסטודנטים לתואר ראשון.</w:t>
      </w:r>
    </w:p>
    <w:p w:rsidR="0037421F" w:rsidRPr="0037421F" w:rsidRDefault="0037421F" w:rsidP="003742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'תחביר הטקסט ללא מתמחים', לסטודנטים לתואר ראשון.</w:t>
      </w:r>
    </w:p>
    <w:p w:rsidR="0037421F" w:rsidRPr="0037421F" w:rsidRDefault="0037421F" w:rsidP="003742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>'ניקוד הטקסט ללא מתמחים', לסטודנטים לתואר ראשון.</w:t>
      </w:r>
    </w:p>
    <w:p w:rsidR="0037421F" w:rsidRPr="0037421F" w:rsidRDefault="0037421F" w:rsidP="0037421F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u w:val="single"/>
          <w:rtl/>
        </w:rPr>
        <w:t xml:space="preserve">6 שנים במכללת </w:t>
      </w:r>
      <w:proofErr w:type="spellStart"/>
      <w:r w:rsidRPr="0037421F">
        <w:rPr>
          <w:rFonts w:ascii="Arial" w:eastAsia="Times New Roman" w:hAnsi="Arial" w:cs="Arial"/>
          <w:i/>
          <w:iCs/>
          <w:sz w:val="24"/>
          <w:szCs w:val="24"/>
          <w:u w:val="single"/>
          <w:rtl/>
        </w:rPr>
        <w:t>לווינסקי</w:t>
      </w:r>
      <w:proofErr w:type="spellEnd"/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 קורסי לשון, כתיבה אקדמית והבנת טקסטים לתלמידי המכללה והמכינה.</w:t>
      </w:r>
    </w:p>
    <w:p w:rsidR="0037421F" w:rsidRPr="0037421F" w:rsidRDefault="0037421F" w:rsidP="0037421F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4"/>
          <w:szCs w:val="24"/>
          <w:u w:val="single"/>
          <w:rtl/>
        </w:rPr>
        <w:t>שנתיים במכללת אחווה</w:t>
      </w:r>
      <w:r w:rsidRPr="0037421F">
        <w:rPr>
          <w:rFonts w:ascii="Arial" w:eastAsia="Times New Roman" w:hAnsi="Arial" w:cs="Arial"/>
          <w:i/>
          <w:iCs/>
          <w:sz w:val="24"/>
          <w:szCs w:val="24"/>
          <w:rtl/>
        </w:rPr>
        <w:t xml:space="preserve"> קורסי לשון עברית וקורסי כתיבה אקדמית לתלמידי המכללה.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 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>הוראה בבתי ספר תיכוניים ובמוסדות קדם- אקדמיים: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לימדתי (מעל 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</w:rPr>
        <w:t>15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 שנים) לשון עברית, ערבית, תקשורת, הבעה והבנה במס' בתי ספר תיכוניים </w:t>
      </w:r>
      <w:proofErr w:type="spellStart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אינטרניים</w:t>
      </w:r>
      <w:proofErr w:type="spellEnd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 ואקסטרניים: בי"ס תיכון 'מקיף ד' בב"ש, מכינה ק"א במצפה רמון, </w:t>
      </w:r>
      <w:proofErr w:type="spellStart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פרוייקט</w:t>
      </w:r>
      <w:proofErr w:type="spellEnd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 "</w:t>
      </w:r>
      <w:proofErr w:type="spellStart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ברנקו</w:t>
      </w:r>
      <w:proofErr w:type="spellEnd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 xml:space="preserve"> ווייס", בי"ס אקסטרני 'תיכון רון' (רכזת מקצוע לשון), בי"ס אקסטרני 'קידום', מכינה ק"א ב'מכללת </w:t>
      </w:r>
      <w:proofErr w:type="spellStart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לווינסקי</w:t>
      </w:r>
      <w:proofErr w:type="spellEnd"/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', מכינה ק"א חוף השרון, בי"ס אקסטרני 'אנקורי' (רכזת מקצוע לשון) ועוד.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 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rtl/>
        </w:rPr>
        <w:t>תרומה להוראה ופעילויות תומכות הוראה:</w:t>
      </w:r>
    </w:p>
    <w:p w:rsidR="0037421F" w:rsidRPr="0037421F" w:rsidRDefault="0037421F" w:rsidP="00374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קיים, א' (2013).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'קורס אוריינות אקדמית לצוות המקצועי באוניברסיטת אריאל'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קיץ 2013</w:t>
      </w:r>
    </w:p>
    <w:p w:rsidR="0037421F" w:rsidRPr="0037421F" w:rsidRDefault="0037421F" w:rsidP="00374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קיים, א' (עורכת) (2010). '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תכנית לימודים חדשה בלשון עברית ובאוריינות לתלמידי המכללה',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המכללה לחינוך גופני ולספורט ע"ש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זינמן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במכון וינגייט.</w:t>
      </w:r>
    </w:p>
    <w:p w:rsidR="0037421F" w:rsidRPr="0037421F" w:rsidRDefault="0037421F" w:rsidP="00374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קיים, א' (עורכת) (2010).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'חוברת א'-למתחילים - תרגול של קריאה אוריינית וניתוח טקסטים לקורסי תגבור',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המכללה לחינוך גופני ולספורט ע"ש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זינמן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במכון וינגייט.</w:t>
      </w:r>
    </w:p>
    <w:p w:rsidR="0037421F" w:rsidRPr="0037421F" w:rsidRDefault="0037421F" w:rsidP="00374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קיים, א' (עורכת) (2010).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'חוברת ב'-למתקדמים - תרגול של קריאה אוריינית וניתוח טקסטים לקורסי תגבור',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המכללה לחינוך גופני ולספורט ע"ש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זינמן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במכון וינגייט.</w:t>
      </w:r>
    </w:p>
    <w:p w:rsidR="0037421F" w:rsidRPr="0037421F" w:rsidRDefault="0037421F" w:rsidP="00374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קיים, א' (עורכת) (2010).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'חוברת שעשועי לשון לחגי ישראל ומועדיו',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המכללה לחינוך גופני ולספורט ע"ש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זינמן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במכון וינגייט.</w:t>
      </w:r>
    </w:p>
    <w:p w:rsidR="0037421F" w:rsidRPr="0037421F" w:rsidRDefault="0037421F" w:rsidP="00374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קיים, א' (עורכת) (2010).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'משחקי לשון לחג'- עלון ההכשרה להוראה 9 ואילך,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המכללה לחינוך גופני ולספורט ע"ש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זינמן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במכון וינגייט.</w:t>
      </w:r>
    </w:p>
    <w:p w:rsidR="0037421F" w:rsidRPr="0037421F" w:rsidRDefault="0037421F" w:rsidP="00374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קיים, א' (2004). '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תכנית הלימודים במקצועות ההשלמה'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לתלמידים שאין בידם תעודת בגרות ישראלית, המכללה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לחינ"ג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וספורט ע"ש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זינמן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במכון וינגייט.</w:t>
      </w:r>
    </w:p>
    <w:p w:rsidR="0037421F" w:rsidRPr="0037421F" w:rsidRDefault="0037421F" w:rsidP="00374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קיים, א' (1995).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'הכנה לבחינה', ספר לימוד והכנה לבגרות בלשון עברית, 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המחלקה ללשון עברית ולשונות שמיות, אוניברסיטת בר אילן, רמת-גן.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rtl/>
        </w:rPr>
        <w:t>מעריכה בכתבי עת: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מעריכה מאמרים בכתבי העת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  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Hebrew Higher Education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החל מ- 2011,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ובלשנות עברית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(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כ"ע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אונ' בר אילן) החל מ- 2014.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rtl/>
        </w:rPr>
        <w:t>תפקידים בקהילה: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לאורך שנים רבות אני מקפידה לתרום מזמני לקהילה בהתנדבות, מתוך אמונה עמוקה, כי תרומה לקהילה היא חובה וזכות של כל אחד מאתנו.</w:t>
      </w:r>
    </w:p>
    <w:p w:rsidR="0037421F" w:rsidRPr="0037421F" w:rsidRDefault="0037421F" w:rsidP="0037421F">
      <w:pPr>
        <w:numPr>
          <w:ilvl w:val="0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lastRenderedPageBreak/>
        <w:t>פעילה פוליטית בישוב שלי-שוהם, בסיעת "לב שוהם" ו"שוהם בתנופה", חברת ועדת חינוך וועדת תרבות במועצה מקומית שוהם.</w:t>
      </w:r>
    </w:p>
    <w:p w:rsidR="0037421F" w:rsidRPr="0037421F" w:rsidRDefault="0037421F" w:rsidP="0037421F">
      <w:pPr>
        <w:numPr>
          <w:ilvl w:val="0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פעילה בהנהגות הורים בית ספריות</w:t>
      </w:r>
    </w:p>
    <w:p w:rsidR="0037421F" w:rsidRPr="0037421F" w:rsidRDefault="0037421F" w:rsidP="0037421F">
      <w:pPr>
        <w:numPr>
          <w:ilvl w:val="0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מרצה בהתנדבות בבתי ספר ובפני סטודנטים בנושאי רטוריקה ודיבור בציבור</w:t>
      </w:r>
    </w:p>
    <w:p w:rsidR="0037421F" w:rsidRPr="0037421F" w:rsidRDefault="0037421F" w:rsidP="0037421F">
      <w:pPr>
        <w:numPr>
          <w:ilvl w:val="0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מקימה ומרכזת "מועדון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הדיבייט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" של המכללה במשחקי אס"א 2013</w:t>
      </w:r>
    </w:p>
    <w:p w:rsidR="0037421F" w:rsidRPr="0037421F" w:rsidRDefault="0037421F" w:rsidP="0037421F">
      <w:pPr>
        <w:numPr>
          <w:ilvl w:val="0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מאמצת אוכלוסיות בעלות צרכים מיוחדים (מנחה, מלמדת שעורי עזר, תומכת ותורמת בהתנדבות)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rtl/>
        </w:rPr>
        <w:t>רשימת  הרצאות בכנסים, פרסומים</w:t>
      </w:r>
      <w:r w:rsidRPr="0037421F">
        <w:rPr>
          <w:rFonts w:ascii="Arial" w:eastAsia="Times New Roman" w:hAnsi="Arial" w:cs="Arial"/>
          <w:i/>
          <w:iCs/>
          <w:sz w:val="27"/>
          <w:szCs w:val="27"/>
          <w:u w:val="single"/>
          <w:rtl/>
        </w:rPr>
        <w:t xml:space="preserve"> ו</w:t>
      </w:r>
      <w:r w:rsidRPr="0037421F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rtl/>
        </w:rPr>
        <w:t>מאמרים בכתבי עת מדעיים: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>* הרצאות בכנסים מדעיים: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 "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An Examination of Political Rhetoric".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 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Conference of Language Literature and Culture in Education (LLCE 2014) Nitra Slovakia 2014.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"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Teaching Public Speaking based on the Rhetoric of Barack Obama”.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 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The European Conference on Language Learning (ECLL 2013).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 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Brighton, </w:t>
      </w:r>
      <w:proofErr w:type="gram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England,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  .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2013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הרטוריקה של נאומי הבחירות של ברק אובמה, כנס בינלאומי, מכללת לוינסקי בחינוך- מאה שנים של מחקר וחדשנות בחינוך. מלון דן תל אביב, 2013. (ראה גם ראיון טלוויזיוני שנערך בתוכנית של אורלי וגיא ערוץ 10) </w:t>
      </w:r>
      <w:hyperlink r:id="rId5" w:history="1">
        <w:r w:rsidRPr="0037421F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</w:rPr>
          <w:t>http://www.tvland.co.il/Display.asp?ID=49832</w:t>
        </w:r>
      </w:hyperlink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דלתות נפתחות- למידה מהצלחות: מורים לקויי למידה, פורום מנהלי מרכזי לקויי למידה במוסדרות להשכלה גבוהה, מכון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מופ"ת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2013.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דפוסי השתלבותם של סטודנטים אתיופים בחברה הישראלית, ע"פ מודל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ההשלבות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של ברי- ממצאי מחקר. פורום רכזי יוצאי אתיופיה במכללות, מכון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מופ"ת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2011.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רטוריקה על כף המאזניים- עיון רטורי בלשני באסטרטגיות השיפוט הנהוגות בבית המשפט העליון, מכון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מופ"ת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2011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שעשועי לשון לחגי ישראל ומועדיו. פורום ראשי חוגים ללשון עברית במכללות, מכון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מופ"ת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2011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רטוריקה ודמגוגיה- סודות אומנות השכנוע. קורס מלווי קב' לחו"ל, משרד התיירות, המכללה בווינגייט, 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2011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שימושים רטוריים של פרשני כדורגל במשחקי המונדיאל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2010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כינוס לשון ורטוריקה השנתי (בשיתוף האקדמיה ללשון עברית). מכון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מופ"ת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2010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(ראה גם ראיון טלוויזיוני שנערך במסגרת שידורי המונדיאל, ערוץ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): </w:t>
      </w:r>
      <w:hyperlink r:id="rId6" w:history="1">
        <w:r w:rsidRPr="0037421F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</w:rPr>
          <w:t>http://www.iba.org.il/media/?recorded=1&amp;starting=10_1_2010-06-30_202205&amp;ProgramDesc=%E1%E9%F6%E9%F2%20%F2%ED%20%E2%E0%E5%EC%E4%20%E0%E1%EF%20%E5%F2%E5%E3%E3%20%F9%E7%F8</w:t>
        </w:r>
      </w:hyperlink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'הצגה אפקטיבית של נושא, עמידה מול קהל, שפת גוף. קורס מלווי קבוצות לחו"ל- משרד התיירות, המכללה בווינגייט,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2010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'עיון בלשני השוואתי בפסיקתם של שופטי בג"צ'. מכון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מופ"ת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2009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 וראה גם כתבה בעיתונות: </w:t>
      </w:r>
      <w:hyperlink r:id="rId7" w:history="1">
        <w:r w:rsidRPr="0037421F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u w:val="single"/>
          </w:rPr>
          <w:t>http://www.windev.tqsoft.co.il/windev.tqsoft.co.il/originals/Kayam.pdf</w:t>
        </w:r>
      </w:hyperlink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'תקשורת: רטוריקה, לוגיקה ושפת הגוף'. כנס עובדי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מינהלה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מעלות,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2008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'הרטוריקה של פרשני הכדורגל בישראל'. כינוס אורנים החמישי, אורנים,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2004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'הקסם שברטוריקה- סודות אומנות השכנוע'. כנס מנהלים, רמת-גן,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2003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'תורת הרטוריקה והלוגיקה'. מכון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מופ"ת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מכללת לוינסקי,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1999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'הלשון הרטורית של שופטי בג"צ'. כנס חוקרים צעירים בתחום מדעי היהדות והרוח, אוניברסיטת בר-אילן,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1999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'הרטוריקה והלוגיקה המשפטית - עיון בלשני- השוואתי 'בפרשת קידום': פסק דינם של השופט חשין והשופטת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דורנר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'. הכנס הבינלאומי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לסוציולינגויסטיקה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', אוניברסיטת חיפה,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1998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'השכנוע בלשונם של שופטי בג"צ'. הכנס המדעי הראשון לחקר השיח', אוניברסיטת בר-אילן,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1997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'משפטי ייחוד בפסקי דין אזרחיים ופליליים'. הסמינריון המדעי למשלבים ושיח בעברית החדשה, אוניברסיטת בר-אילן,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1996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lastRenderedPageBreak/>
        <w:t xml:space="preserve">'דרכי תצורה ויצירה של השמות המסחריים בענף התקשורת בישראל'. הסמינריון המדעי לעברית חדשה', אוניברסיטת בן-גוריון בנגב,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1994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'המגילות הגנוזות - השוואה בין מגילת ישעיהו א' לבין נוסח המקרא בפרקים מב'-מג' ', הסמינריון המדעי לעברית מקראית , אוניברסיטת בר-אילן,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1991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 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rtl/>
        </w:rPr>
        <w:t>רשימת פרסומים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rtl/>
        </w:rPr>
        <w:t>עבודת דוקטורט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  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2000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). 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'אמצעים רטוריים בלשון המשפטית', 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חיבור לשם קבלת תואר</w:t>
      </w:r>
    </w:p>
    <w:p w:rsidR="0037421F" w:rsidRPr="0037421F" w:rsidRDefault="0037421F" w:rsidP="00374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  'דוקטור בפילוסופיה',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461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עמ')  בר-אילן. רמת גן.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 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rtl/>
        </w:rPr>
        <w:t>רשימת  ספרים ומאמרים: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 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ספרי עיון ומחקר:</w:t>
      </w:r>
    </w:p>
    <w:p w:rsidR="0037421F" w:rsidRPr="0037421F" w:rsidRDefault="0037421F" w:rsidP="003742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קיים, א'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(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</w:rPr>
        <w:t>2011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). 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'רטוריקה על כף המאזניים', ספר עיון רטורי-בלשני בפסקי הדין של 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שופטי בג"ץ. (381 עמ') תל-אביב: אסיף . (מידע אודות הספר ראה </w:t>
      </w:r>
      <w:hyperlink r:id="rId8" w:history="1">
        <w:r w:rsidRPr="0037421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rtl/>
          </w:rPr>
          <w:t>באתר של אסיף</w:t>
        </w:r>
      </w:hyperlink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): 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ראה המלצתו  של נשיא בית המשפט העליון השופט אשר </w:t>
      </w:r>
      <w:proofErr w:type="spellStart"/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גרוניס</w:t>
      </w:r>
      <w:proofErr w:type="spellEnd"/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: </w:t>
      </w:r>
      <w:hyperlink r:id="rId9" w:history="1">
        <w:r w:rsidRPr="0037421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https://docs.google.com/file/d/0B_QuECR7FljNSDlPZzBoSzI5bE0/edit?usp=sharing</w:t>
        </w:r>
      </w:hyperlink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rtl/>
        </w:rPr>
        <w:t> 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ראה המלצתו של המשנה לנשיא בית המשפט העליון אלעזר ריבלין: </w:t>
      </w:r>
      <w:hyperlink r:id="rId10" w:history="1">
        <w:r w:rsidRPr="0037421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https://docs.google.com/file/d/0B_QuECR7FljNNmJBNUo2dWFYdWc/edit?usp=sharing</w:t>
        </w:r>
      </w:hyperlink>
    </w:p>
    <w:p w:rsidR="0037421F" w:rsidRPr="0037421F" w:rsidRDefault="0037421F" w:rsidP="003742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Kayam</w:t>
      </w:r>
      <w:proofErr w:type="spellEnd"/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O.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(2013).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Obama’s Message - An Examination of Political Rhetoric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.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 examination of the political rhetoric (149 pp.) [In English], Germany: LAP LAMBERT Academic Publishing. 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לינק לספר: </w:t>
      </w:r>
      <w:hyperlink r:id="rId11" w:tgtFrame="_blank" w:history="1">
        <w:r w:rsidRPr="0037421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https://docs.google.com/file/d/0B_QuECR7FljNZVVwV2xCcE1mUW8/edit?usp=sharing</w:t>
        </w:r>
      </w:hyperlink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rtl/>
        </w:rPr>
        <w:t> 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(מידע אודות הספר ראה באתר ההוצאה לאור): </w:t>
      </w:r>
      <w:hyperlink r:id="rId12" w:history="1">
        <w:r w:rsidRPr="0037421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https://www.lap-publishing.com//system/covergenerator/build/92047</w:t>
        </w:r>
      </w:hyperlink>
    </w:p>
    <w:p w:rsidR="0037421F" w:rsidRPr="0037421F" w:rsidRDefault="0037421F" w:rsidP="003742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Kayam</w:t>
      </w:r>
      <w:proofErr w:type="spellEnd"/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O.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,</w:t>
      </w:r>
      <w:proofErr w:type="gramEnd"/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Hirsch, T.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 (2014).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FLP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-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Family language policy.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</w:t>
      </w: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</w:rPr>
        <w:t>(120 pp.) [In English], Germany: LAP LAMBERT Academic Publishing. (in press)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> 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>מאמרים בכתבי עת עם שיפוט: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 </w:t>
      </w: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.,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Galily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>, Y. (2014)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Rhetoric Reflected in Semitic Languages in Written Sport Commentary: A Comparative Study.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Qualitative Sociology Review. Volume 4, Issue 2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Hirsch, T. (2014).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Socialization of Language through Family Language Policy- Case Study No. 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in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Psychology of language and communication journal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 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accepted for publication)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.,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Galily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>, Y. (2014)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Day or Picturesque?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The Use of Figurative Language in Israeli Supreme Court Verdicts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Human Affairs. Vol. 24, issue 2 pp269-280.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(2014).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The Second Generation –Heritage Language Maintenance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-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Native English Speakers Living in Israel-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Case Study No 3. Journal of Sociological Research. vol. 5, issue 1. pp, 18-23.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Hirsch, T. (201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4)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Acculturative Experiences of the English-Speaking Immigrants and Repatriates in Israel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Issues in Social Science.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Vol. </w:t>
      </w:r>
      <w:proofErr w:type="gram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2 ,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 No 1. PP,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21-30.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lastRenderedPageBreak/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.,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Galily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proofErr w:type="gram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Y,.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Sover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>, A. (2014),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Humor, Media and the Public Discourse: A Case Study of Humor and Politics.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French Journal for Media Research.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pp, 1-16.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קיים, א'. (2014) חסמי לשון אצל עולות מאתיופיה בנתניה- ניתוח מקרה. 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התקבל להד האולפן החדש 102.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טלמור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ר' (2014).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בין השכלה להצלחה- על השתלבותם של סטודנטים יוצאי אתיופיה בחברה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 התקבל לכתב העת גדיש, ביטאון לחינוך מבוגרים.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(2013).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Heritage Language Maintenance among Native English Speakers Living in Israel. Case Study No 2.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Journal of sociological research. Vol. 4 Issue 2, 308-317.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, </w:t>
      </w:r>
      <w:proofErr w:type="gram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,.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Hirsch, T. (201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3).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Israel's English Speaking Immigrant Parents' Family Language Policy Management: Language in the Education Domain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International Journal of Linguistics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5(1)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pp. 320-331.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Talmor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, R. and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Galily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>, Y. (2013)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 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 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Preparation for </w:t>
      </w:r>
      <w:proofErr w:type="gram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Life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?</w:t>
      </w:r>
      <w:proofErr w:type="gram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Ethiopian Immigrant Student in A Matriculation Preparatory Program in Israel.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International Journal of Education and Culture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2(1),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pp. 16-34.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Hirsch, T. (201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3).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Family language policy, language practice, motivation, and planning among Israeli Arab students in Wingate Institute's preparatory program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Intercultural Journal of education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and culture. 5(2), pp.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144-154.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וסובר, א' (2013).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הומור כאמצעי רטורי בשיח הציבורי ובנאומיו של ברק אובמה. 'הומור מקוון'- כתב עת מדעי לחקר ההומור,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האגודה הישראלית לחקר ההומור, גיליון מספר 2, עמ' 60-43.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טלמור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ר',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שובל, א' (2013).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נוטלים את מלוא האחריות- תלמידים לקויי למידה ומוריהם במכינה קדם אקדמית מסבירים את הצלחתם בבחינות הבגרות. 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כתב העת "פנים" גיליון מספר 62, עמ' 78-92.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Galily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>, Y.,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Bar-Eli, M, (2013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),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Effectiveness of Classification Measures in Predicting Achievement in the Israel </w:t>
      </w: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Defence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Forces- Fitness Instruction Trainers Courses as a Case Study.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Sport Science Review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5-6,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pp. 145-172.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Talmor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 R.,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.,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Shoval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 E.,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Galily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 </w:t>
      </w:r>
      <w:proofErr w:type="gram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Y.,(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</w:rPr>
        <w:t>2013)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Success IS a choice-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Explaining Success in Academic Preparation Programs in Israel.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Journal of Comparative Research in Anthropology and Sociology.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Vol 4. No 1. Pp 141-151.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(2013).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"חשין נגד </w:t>
      </w: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דורנר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"- שימוש ברטוריקה בפסקי הדין- ניתוח מקרה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 עלי משפט, המרכז למשפט ולעסקים, רמת-גן. (התקבל לפרסום).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., (2012),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The Rhetorical Structure of Argumentative Discourse as Expressed in Israeli Supreme Court Verdicts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Journal of Public Administration and Governance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Vol. 2 (4), pp.144-163.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, </w:t>
      </w:r>
      <w:proofErr w:type="gram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,.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Hirsch T., (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2012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),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Family Language Policy of the English Speaking Immigrant Community in Israel: Families with Young Children and their FLP Planning and Management, and Outcomes.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International Journal of </w:t>
      </w:r>
      <w:proofErr w:type="gram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Linguistics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.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vol</w:t>
      </w:r>
      <w:proofErr w:type="spellEnd"/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 4(4), pp. 622-635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.,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Galily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>, Y., (2012)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The Road to Success: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An examination of the emotive rhetorical devices appearing in Barack Obama’s campaign speeches leading up to his inauguration.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Language and Communication Quarterly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Vol 1(2), pp. 144-168.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 </w:t>
      </w: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Hirsch, T., (2012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),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Using Social Media Networks to Conduct Questionnaire Based Research in Social Studies Case Study: Family Language Policy.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 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JSR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-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Journal of Sociological Research,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Vol. 3, Issue 2, pp. 57-67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Hirsch T, </w:t>
      </w:r>
      <w:proofErr w:type="spellStart"/>
      <w:proofErr w:type="gram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Galily,Y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>.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</w:rPr>
        <w:t>, (2012),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Linguistic Landscape: Investigation of Linguistic Representations of Cape Town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International Journal of </w:t>
      </w:r>
      <w:proofErr w:type="spellStart"/>
      <w:proofErr w:type="gram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Linguistics,vol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>.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 4, Issue 2, pp. 71-77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.,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Galily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>, Y., (2012)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Freedom of Speech? Israeli Supreme Court Ruling 606/93 – </w:t>
      </w: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Kidum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Initiative Inc.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versus the Israel Broadcasting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lastRenderedPageBreak/>
        <w:t>Authority.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A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Rhetorical Language Analysis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Psychology of Language and Communication, Vol. 16, No. 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pp. 67-78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proofErr w:type="gram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,.</w:t>
      </w:r>
      <w:proofErr w:type="gram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</w:t>
      </w:r>
      <w:proofErr w:type="gram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,.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Kaufman, H. (2011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Rhetoric in Israeli Sports Journalism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HHE -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 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Hebrew Higher Education vol. 14, pp. 327-355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אבו-פנה, מ' (2011).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הרטוריקה של עיתונות הספורט בעברית ובערבית בישראל, עיון בלשני-רטורי- השוואתי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מים מדליו- גיליון מיוחד לשנת הלשון העברית,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23-22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עמ'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483-435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מכללת ליפשיץ.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טלמור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ר',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2011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שינוי עמדות  מורים כלפי תלמידים בעלי צרכים מיוחדים וכלפי שילובם בחינוך הרגיל-ממצאי מחקרים,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התקבל לסוגיות בחינוך המיוחד ובשיקום, חוברת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26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),  עמ'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22-5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אוניברסיטת חיפה.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Shoval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, E,,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Talmor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</w:rPr>
        <w:t>,. R.,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(2011).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The concept of coherency in teaching – Forging an idea from professional literature, a case analysis and a discussion with experts.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International Journal of Qualitative Studies in Education, Vol. 24 (2), pp. 1-21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טלמור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ר',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2009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)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. עמדות </w:t>
      </w: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מתכשרים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 להוראה ביחס לשילוב-סקירת ספרות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סוגיות בחינוך המיוחד ובשיקום, חוברת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25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), עמ'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33-19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אוניברסיטת חיפה.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טלמור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ר', שרון, א',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2009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עמדות מורים כלפי תלמידים עם צרכים מיוחדים לעומת עמדותיהם כלפי תלמידים רגילים. 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סוגיות בחינוך מיוחד ובשילוב 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24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), עמ'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30-21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אוניברסיטת חיפה.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טלמור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ר', שרון, א',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2009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'עמדות מורים כלפי תלמידים עם צרכים מיוחדים לעומת עמדותיהם כלפי תלמידים רגילים- המחקר האיכותי' 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סוגיות בחינוך המיוחד ובשיקום,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25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 עמ'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40-25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  אוניברסיטת חיפה.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טלמור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ר',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וקיים,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 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2006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).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'למה מייחסים סטודנטים לקויי למידה במכינה קדם אקדמית את הצלחותיהם הלימודיות'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סוגיות בחינוך המיוחד ובשילוב,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21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57-45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אוניברסיטת חיפה.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קאופמן, ח',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2005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). 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'הרטוריקה הריגושית של פרשני הכדורגל בישראל'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'בתנועה', ז',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3-4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עמ'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253-224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  מכללת </w:t>
      </w:r>
      <w:proofErr w:type="spell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זינמן</w:t>
      </w:r>
      <w:proofErr w:type="spellEnd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במכון וינגייט.</w:t>
      </w:r>
    </w:p>
    <w:p w:rsidR="0037421F" w:rsidRPr="0037421F" w:rsidRDefault="0037421F" w:rsidP="003742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לבנת, ז', (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2004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). 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'הציטוט כאמצעי רטורי בפסקי הדין של בית המשפט בישראל'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 בלשנות עברית,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54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,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53-37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, אוניברסיטת  בר-אילן.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 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rtl/>
        </w:rPr>
        <w:t>מאמרים שנסתיימה כתיבתם ונשלחו לכתבי עת (ממתינים לאישור לדפוס</w:t>
      </w:r>
      <w:r w:rsidRPr="0037421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>)               </w:t>
      </w: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 </w:t>
      </w:r>
    </w:p>
    <w:p w:rsidR="0037421F" w:rsidRPr="0037421F" w:rsidRDefault="0037421F" w:rsidP="003742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 (2014</w:t>
      </w:r>
      <w:proofErr w:type="gramStart"/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) 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Ethiopian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 Jewish Women: Language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 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and Culture.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Sage Open.</w:t>
      </w:r>
    </w:p>
    <w:p w:rsidR="0037421F" w:rsidRPr="0037421F" w:rsidRDefault="0037421F" w:rsidP="003742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(2014)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Transformative Rhetoric- How Obama Became the new face of America </w:t>
      </w:r>
      <w:proofErr w:type="gramStart"/>
      <w:r w:rsidRPr="0037421F">
        <w:rPr>
          <w:rFonts w:ascii="Arial" w:eastAsia="Times New Roman" w:hAnsi="Arial" w:cs="Arial"/>
          <w:i/>
          <w:iCs/>
          <w:sz w:val="21"/>
          <w:szCs w:val="21"/>
        </w:rPr>
        <w:t>A</w:t>
      </w:r>
      <w:proofErr w:type="gramEnd"/>
      <w:r w:rsidRPr="0037421F">
        <w:rPr>
          <w:rFonts w:ascii="Arial" w:eastAsia="Times New Roman" w:hAnsi="Arial" w:cs="Arial"/>
          <w:i/>
          <w:iCs/>
          <w:sz w:val="21"/>
          <w:szCs w:val="21"/>
        </w:rPr>
        <w:t xml:space="preserve"> Linguistic Analysis. Journal of Language and Cultural Education.</w:t>
      </w:r>
    </w:p>
    <w:p w:rsidR="0037421F" w:rsidRPr="0037421F" w:rsidRDefault="0037421F" w:rsidP="003742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Kayam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, O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. (2014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), 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</w:rPr>
        <w:t>Difficulties Linked to Hebrew Language among Immigrants in Israel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. </w:t>
      </w:r>
      <w:r w:rsidRPr="0037421F">
        <w:rPr>
          <w:rFonts w:ascii="Arial" w:eastAsia="Times New Roman" w:hAnsi="Arial" w:cs="Arial"/>
          <w:i/>
          <w:iCs/>
          <w:sz w:val="21"/>
          <w:szCs w:val="21"/>
        </w:rPr>
        <w:t>Sage open.</w:t>
      </w:r>
    </w:p>
    <w:p w:rsidR="0037421F" w:rsidRPr="0037421F" w:rsidRDefault="0037421F" w:rsidP="003742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קיים, א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>'. הירש, ט'.(2014)</w:t>
      </w:r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 xml:space="preserve">מדיניות שפה במשפחה ("משב") בקהילת עולים דוברת אנגלית בישראל: משפחות עם ילדים צעירים </w:t>
      </w:r>
      <w:proofErr w:type="spellStart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וה"משב</w:t>
      </w:r>
      <w:proofErr w:type="spellEnd"/>
      <w:r w:rsidRPr="0037421F">
        <w:rPr>
          <w:rFonts w:ascii="Arial" w:eastAsia="Times New Roman" w:hAnsi="Arial" w:cs="Arial"/>
          <w:b/>
          <w:bCs/>
          <w:i/>
          <w:iCs/>
          <w:sz w:val="21"/>
          <w:szCs w:val="21"/>
          <w:rtl/>
        </w:rPr>
        <w:t>".</w:t>
      </w:r>
      <w:r w:rsidRPr="0037421F">
        <w:rPr>
          <w:rFonts w:ascii="Arial" w:eastAsia="Times New Roman" w:hAnsi="Arial" w:cs="Arial"/>
          <w:i/>
          <w:iCs/>
          <w:sz w:val="21"/>
          <w:szCs w:val="21"/>
          <w:rtl/>
        </w:rPr>
        <w:t xml:space="preserve"> הד האולפן החדש 102.  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7"/>
          <w:szCs w:val="27"/>
          <w:rtl/>
        </w:rPr>
        <w:t> </w:t>
      </w:r>
    </w:p>
    <w:p w:rsidR="0037421F" w:rsidRPr="0037421F" w:rsidRDefault="0037421F" w:rsidP="0037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 </w:t>
      </w:r>
    </w:p>
    <w:p w:rsidR="0037421F" w:rsidRPr="0037421F" w:rsidRDefault="0037421F" w:rsidP="0037421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2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 </w:t>
      </w:r>
    </w:p>
    <w:p w:rsidR="004F0688" w:rsidRPr="0037421F" w:rsidRDefault="004F0688" w:rsidP="0037421F"/>
    <w:sectPr w:rsidR="004F0688" w:rsidRPr="0037421F" w:rsidSect="004458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D62"/>
    <w:multiLevelType w:val="multilevel"/>
    <w:tmpl w:val="A7D6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500C4"/>
    <w:multiLevelType w:val="multilevel"/>
    <w:tmpl w:val="2EAE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33EDA"/>
    <w:multiLevelType w:val="multilevel"/>
    <w:tmpl w:val="C140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E537D"/>
    <w:multiLevelType w:val="multilevel"/>
    <w:tmpl w:val="4094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D0EB8"/>
    <w:multiLevelType w:val="multilevel"/>
    <w:tmpl w:val="A02C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073B7"/>
    <w:multiLevelType w:val="multilevel"/>
    <w:tmpl w:val="1B4E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32342"/>
    <w:multiLevelType w:val="multilevel"/>
    <w:tmpl w:val="A498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1766E"/>
    <w:multiLevelType w:val="multilevel"/>
    <w:tmpl w:val="6324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BF4B8C"/>
    <w:multiLevelType w:val="multilevel"/>
    <w:tmpl w:val="EAFE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E01BB"/>
    <w:multiLevelType w:val="multilevel"/>
    <w:tmpl w:val="1836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80"/>
    <w:rsid w:val="00044080"/>
    <w:rsid w:val="0037421F"/>
    <w:rsid w:val="00445885"/>
    <w:rsid w:val="004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356D-AE98-429C-AB6F-5933570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4408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408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408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4080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440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0440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0440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0440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0440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44080"/>
    <w:rPr>
      <w:b/>
      <w:bCs/>
    </w:rPr>
  </w:style>
  <w:style w:type="character" w:styleId="a4">
    <w:name w:val="Emphasis"/>
    <w:basedOn w:val="a0"/>
    <w:uiPriority w:val="20"/>
    <w:qFormat/>
    <w:rsid w:val="00044080"/>
    <w:rPr>
      <w:i/>
      <w:iCs/>
    </w:rPr>
  </w:style>
  <w:style w:type="character" w:styleId="Hyperlink">
    <w:name w:val="Hyperlink"/>
    <w:basedOn w:val="a0"/>
    <w:uiPriority w:val="99"/>
    <w:semiHidden/>
    <w:unhideWhenUsed/>
    <w:rsid w:val="00044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f-pub.com/156741/%D7%9E%D7%A1%D7%A4%D7%A8%D7%99-%D7%90%D7%A1%D7%99%D7%A3-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ndev.tqsoft.co.il/windev.tqsoft.co.il/originals/Kayam.pdf" TargetMode="External"/><Relationship Id="rId12" Type="http://schemas.openxmlformats.org/officeDocument/2006/relationships/hyperlink" Target="https://www.lap-publishing.com/system/covergenerator/build/92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a.org.il/media/?recorded=1&amp;starting=10_1_2010-06-30_202205&amp;ProgramDesc=%E1%E9%F6%E9%F2%20%F2%ED%20%E2%E0%E5%EC%E4%20%E0%E1%EF%20%E5%F2%E5%E3%E3%F9%E7%F8" TargetMode="External"/><Relationship Id="rId11" Type="http://schemas.openxmlformats.org/officeDocument/2006/relationships/hyperlink" Target="https://docs.google.com/file/d/0B_QuECR7FljNZVVwV2xCcE1mUW8/edit?usp=sharing" TargetMode="External"/><Relationship Id="rId5" Type="http://schemas.openxmlformats.org/officeDocument/2006/relationships/hyperlink" Target="http://www.tvland.co.il/Display.asp?ID=49832" TargetMode="External"/><Relationship Id="rId10" Type="http://schemas.openxmlformats.org/officeDocument/2006/relationships/hyperlink" Target="https://docs.google.com/file/d/0B_QuECR7FljNNmJBNUo2dWFYdWc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ile/d/0B_QuECR7FljNSDlPZzBoSzI5bE0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2596</Words>
  <Characters>12984</Characters>
  <Application>Microsoft Office Word</Application>
  <DocSecurity>0</DocSecurity>
  <Lines>108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2019-03-18T11:56:00Z</dcterms:created>
  <dcterms:modified xsi:type="dcterms:W3CDTF">2019-03-18T11:56:00Z</dcterms:modified>
</cp:coreProperties>
</file>